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专业名称：食品加工技术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rFonts w:hint="eastAsia" w:ascii="仿宋" w:hAnsi="仿宋" w:eastAsia="仿宋" w:cs="仿宋"/>
          <w:b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</w:t>
      </w:r>
      <w:r>
        <w:rPr>
          <w:rFonts w:hint="eastAsia" w:ascii="仿宋" w:hAnsi="仿宋" w:eastAsia="仿宋" w:cs="仿宋"/>
          <w:b/>
          <w:sz w:val="28"/>
          <w:szCs w:val="28"/>
        </w:rPr>
        <w:t>业代码：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590101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培养目标：</w:t>
      </w:r>
    </w:p>
    <w:p>
      <w:pPr>
        <w:ind w:firstLine="48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160020</wp:posOffset>
            </wp:positionV>
            <wp:extent cx="2878455" cy="1876425"/>
            <wp:effectExtent l="0" t="0" r="17145" b="9525"/>
            <wp:wrapSquare wrapText="bothSides"/>
            <wp:docPr id="1" name="图片 1" descr="2017年院级西点创意大赛照片IMG2017102712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年院级西点创意大赛照片IMG201710271216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本专业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通过“学做交互、技能递进” 231人才培养模式，</w:t>
      </w:r>
      <w:r>
        <w:rPr>
          <w:rFonts w:hint="eastAsia" w:ascii="仿宋" w:hAnsi="仿宋" w:eastAsia="仿宋" w:cs="仿宋"/>
          <w:sz w:val="28"/>
          <w:szCs w:val="28"/>
        </w:rPr>
        <w:t>培养拥护党的基本路线，适应食品加工行业第一线需要，具备专业必要的理论知识和较强实践能力，德、智、体、美等方面全面发展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的具有创新创业意识和创业能力的技术技能型专门人才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专业特色及成果：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43815</wp:posOffset>
            </wp:positionV>
            <wp:extent cx="2976880" cy="2541270"/>
            <wp:effectExtent l="0" t="0" r="13970" b="11430"/>
            <wp:wrapSquare wrapText="bothSides"/>
            <wp:docPr id="2" name="图片 2" descr="QQ图片20171225154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712251547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本专业创建 “学做交互、技能递进” 231人才培养模式。并且与福州新澳餐饮服务有限公司合作开展现代学徒制。2017年12月林怡甜团队凭借作品“多肉翻糖”获得 “盼盼杯”首届海峡两岸食品创新创意大赛三等奖。2018年5月林怡甜同学凭借着作品“瑶池佳人”获得“盼盼食品杯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第八届全国职业技术学院在校生创意西点技术大赛银奖。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主干课程：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2186305</wp:posOffset>
            </wp:positionH>
            <wp:positionV relativeFrom="paragraph">
              <wp:posOffset>79375</wp:posOffset>
            </wp:positionV>
            <wp:extent cx="3080385" cy="2081530"/>
            <wp:effectExtent l="0" t="0" r="5715" b="13970"/>
            <wp:wrapSquare wrapText="bothSides"/>
            <wp:docPr id="3" name="图片 3" descr="Cache_37abe2306b9c014f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che_37abe2306b9c014f.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0385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食品加工技术专业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开设了《果蔬加工技术》、《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焙烤食品加工技术》、《发酵食品加工技术》、《乳制品加工技术》和《肉制品加工技术》5门主干课程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就业方向：</w:t>
      </w:r>
    </w:p>
    <w:p>
      <w:pPr>
        <w:ind w:firstLine="48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2355850</wp:posOffset>
            </wp:positionH>
            <wp:positionV relativeFrom="paragraph">
              <wp:posOffset>224790</wp:posOffset>
            </wp:positionV>
            <wp:extent cx="3101975" cy="1950720"/>
            <wp:effectExtent l="0" t="0" r="3175" b="11430"/>
            <wp:wrapSquare wrapText="bothSides"/>
            <wp:docPr id="4" name="图片 4" descr="IMG2018051115282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180511152823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培养能从事食品生产技术管理、产品开发、资源利用、工程设计等工作的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具有创新创业意识和创业能力的技术技能型专门人才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。本专业毕业生主要适于在食品、农产品加工生产企业加工技术岗位，从事食品加工、生产、管理等工作。</w:t>
      </w:r>
    </w:p>
    <w:p>
      <w:pPr>
        <w:ind w:firstLine="480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F07E3"/>
    <w:rsid w:val="09F576AA"/>
    <w:rsid w:val="148826FB"/>
    <w:rsid w:val="1B42013E"/>
    <w:rsid w:val="2F38234B"/>
    <w:rsid w:val="34403EE5"/>
    <w:rsid w:val="408103EB"/>
    <w:rsid w:val="40D86EC1"/>
    <w:rsid w:val="49F61AB7"/>
    <w:rsid w:val="4DBF5A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zxh</dc:creator>
  <cp:lastModifiedBy>红贝壳</cp:lastModifiedBy>
  <dcterms:modified xsi:type="dcterms:W3CDTF">2018-06-07T05:56:22Z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